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A2" w:rsidRDefault="00934FA2" w:rsidP="00934FA2">
      <w:pPr>
        <w:pStyle w:val="Heading1"/>
      </w:pPr>
      <w:r>
        <w:rPr>
          <w:noProof/>
          <w:lang w:eastAsia="en-GB"/>
        </w:rPr>
        <w:drawing>
          <wp:inline distT="0" distB="0" distL="0" distR="0" wp14:anchorId="47AA4E7E" wp14:editId="6B92120F">
            <wp:extent cx="3623945" cy="874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1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960" cy="87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FA2" w:rsidRDefault="00934FA2" w:rsidP="00934FA2">
      <w:pPr>
        <w:pStyle w:val="Heading1"/>
      </w:pPr>
      <w:r>
        <w:t>Summary of Roles and Responsibilities for</w:t>
      </w:r>
      <w:r>
        <w:t xml:space="preserve"> </w:t>
      </w:r>
      <w:r>
        <w:t xml:space="preserve"> management </w:t>
      </w:r>
      <w:r>
        <w:t xml:space="preserve">of marine designated areas </w:t>
      </w:r>
      <w:r>
        <w:t>in Scotland</w:t>
      </w:r>
    </w:p>
    <w:p w:rsidR="00934FA2" w:rsidRPr="00934FA2" w:rsidRDefault="00934FA2" w:rsidP="00934FA2">
      <w:bookmarkStart w:id="0" w:name="_GoBack"/>
      <w:bookmarkEnd w:id="0"/>
    </w:p>
    <w:p w:rsidR="00934FA2" w:rsidRDefault="00934FA2" w:rsidP="00934FA2">
      <w:pPr>
        <w:pStyle w:val="Heading2"/>
      </w:pPr>
      <w:r>
        <w:t>Responsibilities of individual organisations</w:t>
      </w:r>
    </w:p>
    <w:p w:rsidR="00934FA2" w:rsidRPr="00385808" w:rsidRDefault="00934FA2" w:rsidP="00934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34FA2" w:rsidRPr="009B3EA9" w:rsidTr="00934FA2">
        <w:trPr>
          <w:tblHeader/>
        </w:trPr>
        <w:tc>
          <w:tcPr>
            <w:tcW w:w="4621" w:type="dxa"/>
            <w:shd w:val="clear" w:color="auto" w:fill="EEECE1" w:themeFill="background2"/>
          </w:tcPr>
          <w:p w:rsidR="00934FA2" w:rsidRPr="00934FA2" w:rsidRDefault="00934FA2" w:rsidP="00345E74">
            <w:pPr>
              <w:rPr>
                <w:b/>
                <w:sz w:val="24"/>
                <w:szCs w:val="24"/>
              </w:rPr>
            </w:pPr>
            <w:r w:rsidRPr="00934FA2">
              <w:rPr>
                <w:b/>
                <w:sz w:val="24"/>
                <w:szCs w:val="24"/>
              </w:rPr>
              <w:t>Organisation</w:t>
            </w:r>
          </w:p>
        </w:tc>
        <w:tc>
          <w:tcPr>
            <w:tcW w:w="4621" w:type="dxa"/>
            <w:shd w:val="clear" w:color="auto" w:fill="EEECE1" w:themeFill="background2"/>
          </w:tcPr>
          <w:p w:rsidR="00934FA2" w:rsidRPr="00934FA2" w:rsidRDefault="00934FA2" w:rsidP="00345E74">
            <w:pPr>
              <w:rPr>
                <w:b/>
                <w:sz w:val="24"/>
                <w:szCs w:val="24"/>
              </w:rPr>
            </w:pPr>
            <w:r w:rsidRPr="00934FA2">
              <w:rPr>
                <w:b/>
                <w:sz w:val="24"/>
                <w:szCs w:val="24"/>
              </w:rPr>
              <w:t>Responsibilities in MPA Management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Scottish Government</w:t>
            </w:r>
          </w:p>
        </w:tc>
        <w:tc>
          <w:tcPr>
            <w:tcW w:w="4621" w:type="dxa"/>
          </w:tcPr>
          <w:p w:rsidR="00934FA2" w:rsidRDefault="00934FA2" w:rsidP="00345E74">
            <w:r>
              <w:t xml:space="preserve">Provide the overall </w:t>
            </w:r>
            <w:r>
              <w:t>management policy framework</w:t>
            </w:r>
            <w:r>
              <w:t xml:space="preserve"> for work on marine designated areas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Joint Nature Conservation Committee (JNCC)</w:t>
            </w:r>
          </w:p>
        </w:tc>
        <w:tc>
          <w:tcPr>
            <w:tcW w:w="4621" w:type="dxa"/>
          </w:tcPr>
          <w:p w:rsidR="00934FA2" w:rsidRDefault="00934FA2" w:rsidP="00345E74">
            <w:r>
              <w:t xml:space="preserve">Statutory conservation adviser to UK Government and the Devolved Administrations for </w:t>
            </w:r>
            <w:r w:rsidRPr="003C2617">
              <w:rPr>
                <w:b/>
              </w:rPr>
              <w:t>offshore</w:t>
            </w:r>
            <w:r>
              <w:t xml:space="preserve"> areas (12-200 nautical miles)</w:t>
            </w:r>
          </w:p>
          <w:p w:rsidR="00934FA2" w:rsidRDefault="00934FA2" w:rsidP="00345E74"/>
          <w:p w:rsidR="00934FA2" w:rsidRDefault="00934FA2" w:rsidP="00345E74">
            <w:r>
              <w:t xml:space="preserve">Development of conservation objectives and advice on operations/activities in </w:t>
            </w:r>
            <w:r w:rsidRPr="00DD4154">
              <w:rPr>
                <w:b/>
              </w:rPr>
              <w:t>offshore</w:t>
            </w:r>
            <w:r>
              <w:t xml:space="preserve"> MPAs.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Scottish Natural Heritage</w:t>
            </w:r>
          </w:p>
        </w:tc>
        <w:tc>
          <w:tcPr>
            <w:tcW w:w="4621" w:type="dxa"/>
          </w:tcPr>
          <w:p w:rsidR="00934FA2" w:rsidRPr="00DD4154" w:rsidRDefault="00934FA2" w:rsidP="00345E74">
            <w:r w:rsidRPr="00DD4154">
              <w:t>Development of conservation objectives and advice on opera</w:t>
            </w:r>
            <w:r>
              <w:t>tions/activities for</w:t>
            </w:r>
            <w:r w:rsidRPr="0088047C">
              <w:rPr>
                <w:b/>
              </w:rPr>
              <w:t xml:space="preserve"> inshore</w:t>
            </w:r>
            <w:r>
              <w:t xml:space="preserve"> SACs and SPAs</w:t>
            </w:r>
          </w:p>
          <w:p w:rsidR="00934FA2" w:rsidRPr="00DD4154" w:rsidRDefault="00934FA2" w:rsidP="00345E74"/>
          <w:p w:rsidR="00934FA2" w:rsidRPr="00DD4154" w:rsidRDefault="00934FA2" w:rsidP="00345E74">
            <w:r w:rsidRPr="00DD4154">
              <w:t>Management of Sites of Special Scientific Interest (SSSIs), including issuing of consent/assent for potentially damaging activities</w:t>
            </w:r>
          </w:p>
          <w:p w:rsidR="00934FA2" w:rsidRPr="00DD4154" w:rsidRDefault="00934FA2" w:rsidP="00345E74"/>
          <w:p w:rsidR="00934FA2" w:rsidRPr="00DD4154" w:rsidRDefault="00934FA2" w:rsidP="00345E74">
            <w:r w:rsidRPr="00DD4154">
              <w:t xml:space="preserve">Reporting on condition of SSSIs and </w:t>
            </w:r>
            <w:r>
              <w:t>SACs/SPAs</w:t>
            </w:r>
          </w:p>
          <w:p w:rsidR="00934FA2" w:rsidRPr="00DD4154" w:rsidRDefault="00934FA2" w:rsidP="00345E74"/>
          <w:p w:rsidR="00934FA2" w:rsidRPr="00DD4154" w:rsidRDefault="00934FA2" w:rsidP="00345E74">
            <w:r w:rsidRPr="00DD4154">
              <w:t xml:space="preserve">Statutory conservation adviser to </w:t>
            </w:r>
            <w:r>
              <w:t xml:space="preserve">the Scottish </w:t>
            </w:r>
            <w:r w:rsidRPr="00DD4154">
              <w:t>Government for</w:t>
            </w:r>
            <w:r w:rsidRPr="00DD4154">
              <w:rPr>
                <w:b/>
              </w:rPr>
              <w:t xml:space="preserve"> inshore</w:t>
            </w:r>
            <w:r w:rsidRPr="00DD4154">
              <w:t xml:space="preserve"> areas (0- 12</w:t>
            </w:r>
            <w:r>
              <w:t xml:space="preserve"> nautical miles</w:t>
            </w:r>
            <w:r w:rsidRPr="00DD4154">
              <w:t>)</w:t>
            </w:r>
          </w:p>
          <w:p w:rsidR="00934FA2" w:rsidRPr="00DD4154" w:rsidRDefault="00934FA2" w:rsidP="00345E74"/>
          <w:p w:rsidR="00934FA2" w:rsidRDefault="00934FA2" w:rsidP="00345E74">
            <w:pPr>
              <w:rPr>
                <w:sz w:val="24"/>
                <w:szCs w:val="24"/>
              </w:rPr>
            </w:pPr>
            <w:r w:rsidRPr="00DD4154">
              <w:t xml:space="preserve">Provide advice to relevant authorities regarding the scope of appropriate assessment needed for proposed plans or projects under the </w:t>
            </w:r>
            <w:r w:rsidRPr="00285267">
              <w:rPr>
                <w:rFonts w:eastAsia="Times New Roman" w:cs="Times New Roman"/>
                <w:color w:val="000000"/>
              </w:rPr>
              <w:t>Conservation (Natural habitats, &amp;c.) 1994</w:t>
            </w:r>
          </w:p>
          <w:p w:rsidR="00934FA2" w:rsidRPr="00DD4154" w:rsidRDefault="00934FA2" w:rsidP="00345E74"/>
          <w:p w:rsidR="00934FA2" w:rsidRDefault="00934FA2" w:rsidP="00345E74">
            <w:pPr>
              <w:widowControl w:val="0"/>
              <w:spacing w:before="220"/>
              <w:contextualSpacing/>
              <w:rPr>
                <w:sz w:val="24"/>
                <w:szCs w:val="24"/>
              </w:rPr>
            </w:pPr>
            <w:r w:rsidRPr="00DD4154">
              <w:t>Statutory consultee on local plans and planning applications</w:t>
            </w:r>
          </w:p>
          <w:p w:rsidR="00934FA2" w:rsidRDefault="00934FA2" w:rsidP="00345E74"/>
          <w:p w:rsidR="00934FA2" w:rsidRPr="00DD4154" w:rsidRDefault="00934FA2" w:rsidP="00345E74">
            <w:pPr>
              <w:widowControl w:val="0"/>
              <w:spacing w:before="220"/>
              <w:contextualSpacing/>
            </w:pPr>
            <w:r w:rsidRPr="00DD4154">
              <w:t>Issu</w:t>
            </w:r>
            <w:r>
              <w:t>e</w:t>
            </w:r>
            <w:r w:rsidRPr="00DD4154">
              <w:t xml:space="preserve"> and enforce wildlife licences for disturbance, taking or harm to Schedule 1 breeding birds</w:t>
            </w:r>
            <w:r>
              <w:t xml:space="preserve"> and terrestrial protected species</w:t>
            </w:r>
          </w:p>
          <w:p w:rsidR="00934FA2" w:rsidRDefault="00934FA2" w:rsidP="00345E74"/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lastRenderedPageBreak/>
              <w:t>JNCC</w:t>
            </w:r>
          </w:p>
        </w:tc>
        <w:tc>
          <w:tcPr>
            <w:tcW w:w="4621" w:type="dxa"/>
          </w:tcPr>
          <w:p w:rsidR="00934FA2" w:rsidRDefault="00934FA2" w:rsidP="00345E74">
            <w:r>
              <w:t>Statutory conservation adviser to UK Government and the Devolved Administrations for offshore areas (12-200nm)</w:t>
            </w:r>
          </w:p>
          <w:p w:rsidR="00934FA2" w:rsidRDefault="00934FA2" w:rsidP="00345E74"/>
          <w:p w:rsidR="00934FA2" w:rsidRDefault="00934FA2" w:rsidP="00345E74">
            <w:r>
              <w:t>Development of and advice on conservation objectives and advice on operations/activities (</w:t>
            </w:r>
            <w:r w:rsidRPr="00285267">
              <w:rPr>
                <w:b/>
              </w:rPr>
              <w:t>offshore</w:t>
            </w:r>
            <w:r>
              <w:t xml:space="preserve"> EMS)</w:t>
            </w:r>
          </w:p>
          <w:p w:rsidR="00934FA2" w:rsidRDefault="00934FA2" w:rsidP="00345E74"/>
          <w:p w:rsidR="00934FA2" w:rsidRDefault="00934FA2" w:rsidP="00345E74">
            <w:r>
              <w:t>Duty to notify public authorities if it believes the exercise of its functions may result in a significant risk of hindering the achievement of the conservation objectives of a Nature Conservation Marine Protected Area outside of 12 nautical miles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Scottish Environment</w:t>
            </w:r>
            <w:r>
              <w:t xml:space="preserve"> Protection Agency (SEPA)</w:t>
            </w:r>
          </w:p>
        </w:tc>
        <w:tc>
          <w:tcPr>
            <w:tcW w:w="4621" w:type="dxa"/>
          </w:tcPr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Issuing of permits for industrial processes and discharges to the environment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Production of Flood Risk Management Strategies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Lead authority in delivering the river basin management plans and objective setting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Monitoring of water quality and bathing waters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Statutory Consultee on planning applications and local development plans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Marine Scotland</w:t>
            </w:r>
          </w:p>
        </w:tc>
        <w:tc>
          <w:tcPr>
            <w:tcW w:w="4621" w:type="dxa"/>
          </w:tcPr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Licencing the deposition or removal of materials from the seabed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Issuing of licences for activities likely to harm or disturb a marine protected species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Issuing of licences for control of seals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 xml:space="preserve">Designation of Seal Haul Out Areas 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Power to prohibit or restrict inshore sea fisheries for marine environmental purposes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Statutory Consultee on planning application for aquaculture operations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Preparation of Marine Plans in Scotland and the creation of a National Marine Plan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Ensuring compliance with fisheries regulations (fishing vessel licences, time at sea and quotas for fish and seafood)</w:t>
            </w:r>
          </w:p>
          <w:p w:rsidR="00934FA2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>
              <w:t>Advice on the use of dispersal agents and chemicals in the event of marine pollution emergencies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lastRenderedPageBreak/>
              <w:t>Local Authorities</w:t>
            </w:r>
          </w:p>
        </w:tc>
        <w:tc>
          <w:tcPr>
            <w:tcW w:w="4621" w:type="dxa"/>
          </w:tcPr>
          <w:p w:rsidR="00934FA2" w:rsidRPr="009143AD" w:rsidRDefault="00934FA2" w:rsidP="00345E74">
            <w:r w:rsidRPr="009143AD">
              <w:t xml:space="preserve">Local Planning Authority dealing with </w:t>
            </w:r>
            <w:r w:rsidRPr="009143AD">
              <w:rPr>
                <w:color w:val="000000"/>
              </w:rPr>
              <w:t>Local Development Plan production and</w:t>
            </w:r>
            <w:r>
              <w:rPr>
                <w:color w:val="000000"/>
              </w:rPr>
              <w:t xml:space="preserve"> with</w:t>
            </w:r>
            <w:r w:rsidRPr="009143AD">
              <w:rPr>
                <w:color w:val="000000"/>
              </w:rPr>
              <w:t xml:space="preserve"> Development Control</w:t>
            </w:r>
            <w:r w:rsidRPr="009143AD">
              <w:t xml:space="preserve"> down to Low Mean Water</w:t>
            </w:r>
          </w:p>
          <w:p w:rsidR="00934FA2" w:rsidRPr="009143AD" w:rsidRDefault="00934FA2" w:rsidP="00345E74"/>
          <w:p w:rsidR="00934FA2" w:rsidRPr="009143AD" w:rsidRDefault="00934FA2" w:rsidP="00345E74">
            <w:r w:rsidRPr="009143AD">
              <w:t>Beach management and maintenance</w:t>
            </w:r>
          </w:p>
          <w:p w:rsidR="00934FA2" w:rsidRPr="009143AD" w:rsidRDefault="00934FA2" w:rsidP="00345E74"/>
          <w:p w:rsidR="00934FA2" w:rsidRDefault="00934FA2" w:rsidP="00345E74">
            <w:r w:rsidRPr="009143AD">
              <w:t>Waste management and waste collection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Water companies</w:t>
            </w:r>
          </w:p>
          <w:p w:rsidR="00934FA2" w:rsidRDefault="00934FA2" w:rsidP="00345E74">
            <w:r>
              <w:t>(Scottish water)</w:t>
            </w:r>
          </w:p>
        </w:tc>
        <w:tc>
          <w:tcPr>
            <w:tcW w:w="4621" w:type="dxa"/>
          </w:tcPr>
          <w:p w:rsidR="00934FA2" w:rsidRPr="009143AD" w:rsidRDefault="00934FA2" w:rsidP="00345E74">
            <w:r w:rsidRPr="009143AD">
              <w:t>Collection treatment and discharge of domestic sewage</w:t>
            </w:r>
          </w:p>
          <w:p w:rsidR="00934FA2" w:rsidRPr="009143AD" w:rsidRDefault="00934FA2" w:rsidP="00345E74"/>
          <w:p w:rsidR="00934FA2" w:rsidRPr="009143AD" w:rsidRDefault="00934FA2" w:rsidP="00345E74">
            <w:pPr>
              <w:widowControl w:val="0"/>
              <w:contextualSpacing/>
            </w:pPr>
            <w:r w:rsidRPr="009143AD">
              <w:t>Licencing discharge of trade effluent to a sewer</w:t>
            </w:r>
          </w:p>
          <w:p w:rsidR="00934FA2" w:rsidRDefault="00934FA2" w:rsidP="00345E74"/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Harbour Authorities [within the meaning of the Harbours Act 1964(2)]</w:t>
            </w:r>
          </w:p>
        </w:tc>
        <w:tc>
          <w:tcPr>
            <w:tcW w:w="4621" w:type="dxa"/>
          </w:tcPr>
          <w:p w:rsidR="00934FA2" w:rsidRPr="004A5E46" w:rsidRDefault="00934FA2" w:rsidP="00345E74">
            <w:pPr>
              <w:widowControl w:val="0"/>
              <w:spacing w:before="220"/>
              <w:contextualSpacing/>
            </w:pPr>
            <w:r w:rsidRPr="004A5E46">
              <w:t>Maintaining and conserving the harbour facilities and ensuring safe and efficient marine operations</w:t>
            </w:r>
          </w:p>
          <w:p w:rsidR="00934FA2" w:rsidRPr="004A5E46" w:rsidRDefault="00934FA2" w:rsidP="00345E74">
            <w:pPr>
              <w:widowControl w:val="0"/>
              <w:spacing w:before="220"/>
              <w:contextualSpacing/>
            </w:pPr>
          </w:p>
          <w:p w:rsidR="00934FA2" w:rsidRPr="004A5E46" w:rsidRDefault="00934FA2" w:rsidP="00345E74">
            <w:pPr>
              <w:widowControl w:val="0"/>
              <w:spacing w:before="220"/>
              <w:contextualSpacing/>
            </w:pPr>
            <w:r w:rsidRPr="004A5E46">
              <w:t>Maintenance of lights and navigational markers</w:t>
            </w:r>
          </w:p>
          <w:p w:rsidR="00934FA2" w:rsidRPr="004A5E46" w:rsidRDefault="00934FA2" w:rsidP="00345E74">
            <w:pPr>
              <w:widowControl w:val="0"/>
              <w:spacing w:before="220"/>
              <w:contextualSpacing/>
            </w:pPr>
          </w:p>
          <w:p w:rsidR="00934FA2" w:rsidRPr="004A5E46" w:rsidRDefault="00934FA2" w:rsidP="00345E74">
            <w:pPr>
              <w:widowControl w:val="0"/>
              <w:spacing w:before="220"/>
              <w:contextualSpacing/>
            </w:pPr>
            <w:r w:rsidRPr="004A5E46">
              <w:t xml:space="preserve">Development of Harbour </w:t>
            </w:r>
            <w:r>
              <w:t>Pollution Incident</w:t>
            </w:r>
            <w:r w:rsidRPr="004A5E46">
              <w:t xml:space="preserve"> Contingency Plan</w:t>
            </w:r>
            <w:r>
              <w:t>s</w:t>
            </w:r>
          </w:p>
          <w:p w:rsidR="00934FA2" w:rsidRPr="004A5E46" w:rsidRDefault="00934FA2" w:rsidP="00345E74">
            <w:pPr>
              <w:widowControl w:val="0"/>
              <w:spacing w:before="220"/>
              <w:contextualSpacing/>
            </w:pPr>
          </w:p>
          <w:p w:rsidR="00934FA2" w:rsidRDefault="00934FA2" w:rsidP="00345E74">
            <w:pPr>
              <w:widowControl w:val="0"/>
              <w:spacing w:before="220"/>
              <w:contextualSpacing/>
            </w:pPr>
            <w:r w:rsidRPr="004A5E46">
              <w:t xml:space="preserve">Production of Harbour Waste Management Plan and provision of waste disposal facilities </w:t>
            </w:r>
          </w:p>
          <w:p w:rsidR="00934FA2" w:rsidRDefault="00934FA2" w:rsidP="00345E74"/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General Lighthouse Authority (Northern Lighthouse Board)</w:t>
            </w:r>
          </w:p>
        </w:tc>
        <w:tc>
          <w:tcPr>
            <w:tcW w:w="4621" w:type="dxa"/>
          </w:tcPr>
          <w:p w:rsidR="00934FA2" w:rsidRDefault="00934FA2" w:rsidP="00345E74">
            <w:r>
              <w:t>Remit to provide aids to navigation and assist the safe passage of vessels</w:t>
            </w:r>
          </w:p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Maritime and Coastguard Agency (MCA)</w:t>
            </w:r>
          </w:p>
        </w:tc>
        <w:tc>
          <w:tcPr>
            <w:tcW w:w="4621" w:type="dxa"/>
          </w:tcPr>
          <w:p w:rsidR="00934FA2" w:rsidRPr="00801479" w:rsidRDefault="00934FA2" w:rsidP="00345E74">
            <w:r w:rsidRPr="00801479">
              <w:t xml:space="preserve">Production of </w:t>
            </w:r>
            <w:r>
              <w:t>‘</w:t>
            </w:r>
            <w:r w:rsidRPr="00D55793">
              <w:rPr>
                <w:rFonts w:cstheme="minorHAnsi"/>
                <w:color w:val="0B0C0C"/>
                <w:shd w:val="clear" w:color="auto" w:fill="FFFFFF"/>
              </w:rPr>
              <w:t>The National Contingency Plan - A Strategic Overview for Responses to Marine Pollution from Shipping and Offshore Installations’</w:t>
            </w:r>
          </w:p>
          <w:p w:rsidR="00934FA2" w:rsidRPr="00801479" w:rsidRDefault="00934FA2" w:rsidP="00345E74"/>
          <w:p w:rsidR="00934FA2" w:rsidRPr="00801479" w:rsidRDefault="00934FA2" w:rsidP="00345E74">
            <w:r w:rsidRPr="00801479">
              <w:t>Coordination of national marine pollution responses</w:t>
            </w:r>
          </w:p>
          <w:p w:rsidR="00934FA2" w:rsidRPr="00801479" w:rsidRDefault="00934FA2" w:rsidP="00345E74"/>
          <w:p w:rsidR="00934FA2" w:rsidRPr="00801479" w:rsidRDefault="00934FA2" w:rsidP="00345E74">
            <w:r w:rsidRPr="00801479">
              <w:t>Sign-off on Local Pollution Incident Contingency Plans</w:t>
            </w:r>
          </w:p>
          <w:p w:rsidR="00934FA2" w:rsidRPr="00801479" w:rsidRDefault="00934FA2" w:rsidP="00345E74"/>
          <w:p w:rsidR="00934FA2" w:rsidRPr="00801479" w:rsidRDefault="00934FA2" w:rsidP="00345E74">
            <w:r w:rsidRPr="00801479">
              <w:t>Inspection and certification of vessels and monitoring compliance with the MARPOL Convention</w:t>
            </w:r>
          </w:p>
          <w:p w:rsidR="00934FA2" w:rsidRDefault="00934FA2" w:rsidP="00345E74"/>
        </w:tc>
      </w:tr>
      <w:tr w:rsidR="00934FA2" w:rsidTr="00345E74">
        <w:tc>
          <w:tcPr>
            <w:tcW w:w="4621" w:type="dxa"/>
          </w:tcPr>
          <w:p w:rsidR="00934FA2" w:rsidRDefault="00934FA2" w:rsidP="00345E74">
            <w:r>
              <w:t>River Tweed Commission</w:t>
            </w:r>
          </w:p>
        </w:tc>
        <w:tc>
          <w:tcPr>
            <w:tcW w:w="4621" w:type="dxa"/>
          </w:tcPr>
          <w:p w:rsidR="00934FA2" w:rsidRPr="0057315B" w:rsidRDefault="00934FA2" w:rsidP="00345E74">
            <w:r w:rsidRPr="0057315B">
              <w:t>Management of migratory fisheries (e.g. salmon or trout) in the Tweed and Eye Fisheries District (</w:t>
            </w:r>
            <w:r w:rsidRPr="0057315B">
              <w:rPr>
                <w:rFonts w:eastAsia="Times New Roman" w:cs="Times New Roman"/>
              </w:rPr>
              <w:t xml:space="preserve">an area just north of </w:t>
            </w:r>
            <w:proofErr w:type="spellStart"/>
            <w:r w:rsidRPr="0057315B">
              <w:rPr>
                <w:rFonts w:eastAsia="Times New Roman" w:cs="Times New Roman"/>
              </w:rPr>
              <w:t>Cocksburnspath</w:t>
            </w:r>
            <w:proofErr w:type="spellEnd"/>
            <w:r w:rsidRPr="0057315B">
              <w:rPr>
                <w:rFonts w:eastAsia="Times New Roman" w:cs="Times New Roman"/>
              </w:rPr>
              <w:t xml:space="preserve"> in Berwickshire down to just north of Holy Island in Northumberland and out to 5km offshore)</w:t>
            </w:r>
          </w:p>
        </w:tc>
      </w:tr>
    </w:tbl>
    <w:p w:rsidR="00934FA2" w:rsidRDefault="00934FA2" w:rsidP="00934FA2">
      <w:pPr>
        <w:rPr>
          <w:b/>
        </w:rPr>
      </w:pPr>
    </w:p>
    <w:p w:rsidR="00934FA2" w:rsidRDefault="00934FA2" w:rsidP="00934FA2">
      <w:pPr>
        <w:pStyle w:val="Heading3"/>
      </w:pPr>
      <w:r>
        <w:t>General Duties on all Public Authorities</w:t>
      </w:r>
    </w:p>
    <w:p w:rsidR="00934FA2" w:rsidRPr="00934FA2" w:rsidRDefault="00934FA2" w:rsidP="00934F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934FA2" w:rsidTr="00934FA2">
        <w:tc>
          <w:tcPr>
            <w:tcW w:w="4644" w:type="dxa"/>
            <w:shd w:val="clear" w:color="auto" w:fill="EEECE1" w:themeFill="background2"/>
          </w:tcPr>
          <w:p w:rsidR="00934FA2" w:rsidRPr="00934FA2" w:rsidRDefault="00934FA2" w:rsidP="00345E74">
            <w:pPr>
              <w:rPr>
                <w:b/>
                <w:sz w:val="24"/>
                <w:szCs w:val="24"/>
              </w:rPr>
            </w:pPr>
            <w:r w:rsidRPr="00934FA2">
              <w:rPr>
                <w:b/>
                <w:sz w:val="24"/>
                <w:szCs w:val="24"/>
              </w:rPr>
              <w:t>Duty</w:t>
            </w:r>
          </w:p>
        </w:tc>
        <w:tc>
          <w:tcPr>
            <w:tcW w:w="4395" w:type="dxa"/>
            <w:shd w:val="clear" w:color="auto" w:fill="EEECE1" w:themeFill="background2"/>
          </w:tcPr>
          <w:p w:rsidR="00934FA2" w:rsidRPr="00934FA2" w:rsidRDefault="00934FA2" w:rsidP="00345E74">
            <w:pPr>
              <w:rPr>
                <w:b/>
                <w:sz w:val="24"/>
                <w:szCs w:val="24"/>
              </w:rPr>
            </w:pPr>
            <w:r w:rsidRPr="00934FA2">
              <w:rPr>
                <w:b/>
                <w:sz w:val="24"/>
                <w:szCs w:val="24"/>
              </w:rPr>
              <w:t>Legislation</w:t>
            </w:r>
          </w:p>
        </w:tc>
      </w:tr>
      <w:tr w:rsidR="00934FA2" w:rsidTr="00345E74">
        <w:tc>
          <w:tcPr>
            <w:tcW w:w="4644" w:type="dxa"/>
          </w:tcPr>
          <w:p w:rsidR="00934FA2" w:rsidRPr="00934FA2" w:rsidRDefault="00934FA2" w:rsidP="00345E74">
            <w:pPr>
              <w:widowControl w:val="0"/>
              <w:contextualSpacing/>
              <w:rPr>
                <w:rFonts w:cstheme="majorHAnsi"/>
                <w:color w:val="0B0C0C"/>
              </w:rPr>
            </w:pPr>
            <w:r w:rsidRPr="00934FA2">
              <w:rPr>
                <w:rFonts w:cstheme="majorHAnsi"/>
                <w:color w:val="0B0C0C"/>
              </w:rPr>
              <w:t xml:space="preserve">General duty on Competent Authorities (any Minister of the Crown government department, statutory undertaker, public body of any description or person holding a public office) </w:t>
            </w:r>
            <w:r w:rsidRPr="00934FA2">
              <w:rPr>
                <w:rFonts w:cstheme="majorHAnsi"/>
                <w:color w:val="000000"/>
              </w:rPr>
              <w:t>to have regard to the EC Habitats Directive and Wild Birds Directive in the exercise of any of their functions</w:t>
            </w:r>
          </w:p>
        </w:tc>
        <w:tc>
          <w:tcPr>
            <w:tcW w:w="4395" w:type="dxa"/>
          </w:tcPr>
          <w:p w:rsidR="00934FA2" w:rsidRPr="00934FA2" w:rsidRDefault="00934FA2" w:rsidP="00345E74">
            <w:r w:rsidRPr="00934FA2">
              <w:t xml:space="preserve">The </w:t>
            </w:r>
            <w:r w:rsidRPr="00934FA2">
              <w:rPr>
                <w:rFonts w:eastAsia="Times New Roman" w:cs="Times New Roman"/>
                <w:color w:val="000000"/>
              </w:rPr>
              <w:t>Conservation (Natural Habitats, &amp;c.) 1994</w:t>
            </w:r>
          </w:p>
          <w:p w:rsidR="00934FA2" w:rsidRPr="00934FA2" w:rsidRDefault="00934FA2" w:rsidP="00345E74"/>
        </w:tc>
      </w:tr>
      <w:tr w:rsidR="00934FA2" w:rsidTr="00345E74">
        <w:tc>
          <w:tcPr>
            <w:tcW w:w="4644" w:type="dxa"/>
          </w:tcPr>
          <w:p w:rsidR="00934FA2" w:rsidRPr="00934FA2" w:rsidRDefault="00934FA2" w:rsidP="00345E74">
            <w:pPr>
              <w:widowControl w:val="0"/>
              <w:contextualSpacing/>
              <w:rPr>
                <w:color w:val="0B0C0C"/>
              </w:rPr>
            </w:pPr>
            <w:r w:rsidRPr="00934FA2">
              <w:rPr>
                <w:color w:val="0B0C0C"/>
              </w:rPr>
              <w:t>Statutory d</w:t>
            </w:r>
            <w:r w:rsidRPr="00934FA2">
              <w:rPr>
                <w:rFonts w:cstheme="majorHAnsi"/>
                <w:color w:val="0B0C0C"/>
              </w:rPr>
              <w:t xml:space="preserve">uty to </w:t>
            </w:r>
            <w:r w:rsidRPr="00934FA2">
              <w:rPr>
                <w:rFonts w:cstheme="majorHAnsi"/>
                <w:color w:val="0B0C0C"/>
                <w:shd w:val="clear" w:color="auto" w:fill="FFFFFF"/>
              </w:rPr>
              <w:t>take reasonable steps to conserve and enhance the special features of Sites of Special Scientific Interest (</w:t>
            </w:r>
            <w:r w:rsidRPr="00934FA2">
              <w:rPr>
                <w:rFonts w:cstheme="majorHAnsi"/>
              </w:rPr>
              <w:t>SSSIs</w:t>
            </w:r>
            <w:r w:rsidRPr="00934FA2">
              <w:rPr>
                <w:rFonts w:cstheme="majorHAnsi"/>
                <w:color w:val="0B0C0C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934FA2" w:rsidRPr="00934FA2" w:rsidRDefault="00934FA2" w:rsidP="00345E74">
            <w:r w:rsidRPr="00934FA2">
              <w:t>Nature Conservation (Scotland) Act 2004</w:t>
            </w:r>
          </w:p>
        </w:tc>
      </w:tr>
      <w:tr w:rsidR="00934FA2" w:rsidTr="00345E74">
        <w:tc>
          <w:tcPr>
            <w:tcW w:w="4644" w:type="dxa"/>
          </w:tcPr>
          <w:p w:rsidR="00934FA2" w:rsidRPr="00934FA2" w:rsidRDefault="00934FA2" w:rsidP="00345E74">
            <w:pPr>
              <w:widowControl w:val="0"/>
              <w:contextualSpacing/>
              <w:rPr>
                <w:rFonts w:cstheme="majorHAnsi"/>
                <w:color w:val="0B0C0C"/>
              </w:rPr>
            </w:pPr>
            <w:r w:rsidRPr="00934FA2">
              <w:rPr>
                <w:rFonts w:cstheme="majorHAnsi"/>
                <w:color w:val="0B0C0C"/>
              </w:rPr>
              <w:t xml:space="preserve">Statutory duty as a public authority to </w:t>
            </w:r>
            <w:r w:rsidRPr="00934FA2">
              <w:rPr>
                <w:color w:val="000000"/>
                <w:shd w:val="clear" w:color="auto" w:fill="FFFFFF"/>
              </w:rPr>
              <w:t xml:space="preserve">further the conservation of biodiversity when carrying out their responsibilities. </w:t>
            </w:r>
          </w:p>
        </w:tc>
        <w:tc>
          <w:tcPr>
            <w:tcW w:w="4395" w:type="dxa"/>
          </w:tcPr>
          <w:p w:rsidR="00934FA2" w:rsidRPr="00934FA2" w:rsidRDefault="00934FA2" w:rsidP="00345E74">
            <w:r w:rsidRPr="00934FA2">
              <w:rPr>
                <w:color w:val="000000"/>
                <w:shd w:val="clear" w:color="auto" w:fill="FFFFFF"/>
              </w:rPr>
              <w:t>The Wildlife and Natural Environment (Scotland) Act 2011</w:t>
            </w:r>
          </w:p>
        </w:tc>
      </w:tr>
    </w:tbl>
    <w:p w:rsidR="005236F9" w:rsidRDefault="00934FA2"/>
    <w:sectPr w:rsidR="00523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A2"/>
    <w:rsid w:val="00934FA2"/>
    <w:rsid w:val="00B37566"/>
    <w:rsid w:val="00E3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A2"/>
    <w:rPr>
      <w:rFonts w:asci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FA2"/>
    <w:pPr>
      <w:keepNext/>
      <w:keepLines/>
      <w:spacing w:before="240" w:after="0"/>
      <w:outlineLvl w:val="0"/>
    </w:pPr>
    <w:rPr>
      <w:rFonts w:ascii="Cambria" w:eastAsiaTheme="majorEastAsia" w:hAnsiTheme="majorHAnsi" w:cstheme="majorBid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FA2"/>
    <w:pPr>
      <w:keepNext/>
      <w:keepLines/>
      <w:spacing w:before="40" w:after="0"/>
      <w:outlineLvl w:val="1"/>
    </w:pPr>
    <w:rPr>
      <w:rFonts w:ascii="Cambria" w:eastAsiaTheme="majorEastAsia" w:hAnsiTheme="majorHAnsi" w:cstheme="majorBid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FA2"/>
    <w:pPr>
      <w:keepNext/>
      <w:keepLines/>
      <w:spacing w:before="40" w:after="0"/>
      <w:outlineLvl w:val="2"/>
    </w:pPr>
    <w:rPr>
      <w:rFonts w:ascii="Cambria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FA2"/>
    <w:rPr>
      <w:rFonts w:ascii="Cambria" w:eastAsiaTheme="majorEastAsia" w:hAnsiTheme="majorHAnsi" w:cstheme="majorBidi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FA2"/>
    <w:rPr>
      <w:rFonts w:ascii="Cambria" w:eastAsiaTheme="majorEastAsia" w:hAnsiTheme="majorHAnsi" w:cstheme="majorBidi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FA2"/>
    <w:rPr>
      <w:rFonts w:ascii="Cambria" w:eastAsiaTheme="majorEastAsia" w:hAnsiTheme="majorHAnsi" w:cstheme="majorBidi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934FA2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FA2"/>
    <w:rPr>
      <w:rFonts w:asci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FA2"/>
    <w:pPr>
      <w:keepNext/>
      <w:keepLines/>
      <w:spacing w:before="240" w:after="0"/>
      <w:outlineLvl w:val="0"/>
    </w:pPr>
    <w:rPr>
      <w:rFonts w:ascii="Cambria" w:eastAsiaTheme="majorEastAsia" w:hAnsiTheme="majorHAnsi" w:cstheme="majorBidi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4FA2"/>
    <w:pPr>
      <w:keepNext/>
      <w:keepLines/>
      <w:spacing w:before="40" w:after="0"/>
      <w:outlineLvl w:val="1"/>
    </w:pPr>
    <w:rPr>
      <w:rFonts w:ascii="Cambria" w:eastAsiaTheme="majorEastAsia" w:hAnsiTheme="majorHAnsi" w:cstheme="majorBidi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4FA2"/>
    <w:pPr>
      <w:keepNext/>
      <w:keepLines/>
      <w:spacing w:before="40" w:after="0"/>
      <w:outlineLvl w:val="2"/>
    </w:pPr>
    <w:rPr>
      <w:rFonts w:ascii="Cambria" w:eastAsiaTheme="majorEastAsia" w:hAnsiTheme="majorHAnsi" w:cstheme="majorBidi"/>
      <w:color w:val="243F6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FA2"/>
    <w:rPr>
      <w:rFonts w:ascii="Cambria" w:eastAsiaTheme="majorEastAsia" w:hAnsiTheme="majorHAnsi" w:cstheme="majorBidi"/>
      <w:color w:val="365F9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4FA2"/>
    <w:rPr>
      <w:rFonts w:ascii="Cambria" w:eastAsiaTheme="majorEastAsia" w:hAnsiTheme="majorHAnsi" w:cstheme="majorBidi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4FA2"/>
    <w:rPr>
      <w:rFonts w:ascii="Cambria" w:eastAsiaTheme="majorEastAsia" w:hAnsiTheme="majorHAnsi" w:cstheme="majorBidi"/>
      <w:color w:val="243F60"/>
      <w:sz w:val="24"/>
      <w:szCs w:val="24"/>
    </w:rPr>
  </w:style>
  <w:style w:type="table" w:styleId="TableGrid">
    <w:name w:val="Table Grid"/>
    <w:basedOn w:val="TableNormal"/>
    <w:uiPriority w:val="59"/>
    <w:rsid w:val="00934FA2"/>
    <w:pPr>
      <w:spacing w:after="0" w:line="240" w:lineRule="auto"/>
    </w:pPr>
    <w:rPr>
      <w:rFonts w:asci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F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F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Brodin, Nick</dc:creator>
  <cp:lastModifiedBy>Brodin, Nick</cp:lastModifiedBy>
  <cp:revision>1</cp:revision>
  <dcterms:created xsi:type="dcterms:W3CDTF">2019-02-19T14:25:00Z</dcterms:created>
  <dcterms:modified xsi:type="dcterms:W3CDTF">2019-02-19T14:32:00Z</dcterms:modified>
</cp:coreProperties>
</file>